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PingFang SC Semibold" w:hAnsi="PingFang SC Semibold"/>
          <w:rtl w:val="0"/>
          <w:lang w:val="it-IT"/>
        </w:rPr>
        <w:t>Fortepiano Bl</w:t>
      </w:r>
      <w:r>
        <w:rPr>
          <w:rFonts w:ascii="PingFang SC Semibold" w:hAnsi="PingFang SC Semibold" w:hint="default"/>
          <w:rtl w:val="0"/>
          <w:lang w:val="it-IT"/>
        </w:rPr>
        <w:t>ü</w:t>
      </w:r>
      <w:r>
        <w:rPr>
          <w:rFonts w:ascii="PingFang SC Semibold" w:hAnsi="PingFang SC Semibold"/>
          <w:rtl w:val="0"/>
          <w:lang w:val="de-DE"/>
        </w:rPr>
        <w:t>thner</w:t>
      </w:r>
    </w:p>
    <w:p>
      <w:pPr>
        <w:pStyle w:val="Corpo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Times New Roman" w:hAnsi="Times New Roman" w:eastAsia="Arial Unicode MS"/>
          <w:i w:val="1"/>
          <w:iCs w:val="1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Times New Roman" w:hAnsi="Times New Roman" w:eastAsia="Arial Unicode MS"/>
          <w:i w:val="1"/>
          <w:iCs w:val="1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Times New Roman" w:hAnsi="Times New Roman" w:eastAsia="Arial Unicode MS"/>
          <w:i w:val="1"/>
          <w:iCs w:val="1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rtl w:val="0"/>
          <w:lang w:val="zh-CN" w:eastAsia="zh-CN"/>
        </w:rPr>
        <w:t xml:space="preserve">博兰斯勒钢琴有着久负盛名的历史。尤利乌斯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٠</w:t>
      </w:r>
      <w:r>
        <w:rPr>
          <w:rFonts w:ascii="PingFang SC Regular" w:hAnsi="PingFang SC Regular"/>
          <w:rtl w:val="0"/>
        </w:rPr>
        <w:t xml:space="preserve"> </w:t>
      </w:r>
      <w:r>
        <w:rPr>
          <w:rFonts w:eastAsia="PingFang SC Regular" w:hint="eastAsia"/>
          <w:rtl w:val="0"/>
          <w:lang w:val="zh-CN" w:eastAsia="zh-CN"/>
        </w:rPr>
        <w:t xml:space="preserve">博兰斯勒 </w:t>
      </w:r>
      <w:r>
        <w:rPr>
          <w:rFonts w:ascii="PingFang SC Regular" w:hAnsi="PingFang SC Regular"/>
          <w:rtl w:val="0"/>
        </w:rPr>
        <w:t>1853</w:t>
      </w:r>
      <w:r>
        <w:rPr>
          <w:rFonts w:eastAsia="PingFang SC Regular" w:hint="eastAsia"/>
          <w:rtl w:val="0"/>
          <w:lang w:val="zh-CN" w:eastAsia="zh-CN"/>
        </w:rPr>
        <w:t xml:space="preserve">年在莱比锡创建了制琴工厂。到 </w:t>
      </w:r>
      <w:r>
        <w:rPr>
          <w:rFonts w:ascii="PingFang SC Regular" w:hAnsi="PingFang SC Regular"/>
          <w:rtl w:val="0"/>
        </w:rPr>
        <w:t>1900</w:t>
      </w:r>
      <w:r>
        <w:rPr>
          <w:rFonts w:eastAsia="PingFang SC Regular" w:hint="eastAsia"/>
          <w:rtl w:val="0"/>
          <w:lang w:val="zh-CN" w:eastAsia="zh-CN"/>
        </w:rPr>
        <w:t>年，博兰斯勒的工厂成为了德国最大的制琴厂，每年可以制造超过五千台钢琴。很多著名的音乐家，如舒曼，李斯特，莫谢莱斯，马勒，拉赫玛尼诺夫，柴可夫斯基，不仅喜爱博兰斯勒钢琴，同时也拜访过乐器制造工厂。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</w:pPr>
      <w:r>
        <w:rPr>
          <w:rFonts w:ascii="PingFang SC Regular" w:hAnsi="PingFang SC Regular"/>
          <w:rtl w:val="0"/>
        </w:rPr>
        <w:t>1856</w:t>
      </w:r>
      <w:r>
        <w:rPr>
          <w:rFonts w:eastAsia="PingFang SC Regular" w:hint="eastAsia"/>
          <w:rtl w:val="0"/>
          <w:lang w:val="zh-CN" w:eastAsia="zh-CN"/>
        </w:rPr>
        <w:t xml:space="preserve">年的博兰斯勒钢琴（第 </w:t>
      </w:r>
      <w:r>
        <w:rPr>
          <w:rFonts w:ascii="PingFang SC Regular" w:hAnsi="PingFang SC Regular"/>
          <w:rtl w:val="0"/>
        </w:rPr>
        <w:t>974</w:t>
      </w:r>
      <w:r>
        <w:rPr>
          <w:rFonts w:eastAsia="PingFang SC Regular" w:hint="eastAsia"/>
          <w:rtl w:val="0"/>
          <w:lang w:val="zh-CN" w:eastAsia="zh-CN"/>
        </w:rPr>
        <w:t>号）由保罗</w:t>
      </w:r>
      <w:r>
        <w:rPr>
          <w:rFonts w:ascii="PingFang SC Regular" w:hAnsi="PingFang SC Regular" w:hint="default"/>
          <w:rtl w:val="0"/>
          <w:lang w:val="de-DE"/>
        </w:rPr>
        <w:t>·</w:t>
      </w:r>
      <w:r>
        <w:rPr>
          <w:rFonts w:eastAsia="PingFang SC Regular" w:hint="eastAsia"/>
          <w:rtl w:val="0"/>
          <w:lang w:val="zh-CN" w:eastAsia="zh-CN"/>
        </w:rPr>
        <w:t>麦克诺提修复。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