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PingFang SC Semibold" w:hAnsi="PingFang SC Semibold"/>
          <w:rtl w:val="0"/>
          <w:lang w:val="it-IT"/>
        </w:rPr>
        <w:t>Fortepiano Teller</w:t>
      </w:r>
    </w:p>
    <w:p>
      <w:pPr>
        <w:pStyle w:val="Corpo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Times New Roman" w:hAnsi="Times New Roman" w:eastAsia="Arial Unicode MS"/>
          <w:i w:val="1"/>
          <w:iCs w:val="1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zh-CN" w:eastAsia="zh-CN"/>
        </w:rPr>
        <w:t>来自波西米亚的约瑟夫</w:t>
      </w:r>
      <w:r>
        <w:rPr>
          <w:rFonts w:ascii="PingFang SC Regular" w:hAnsi="PingFang SC Regular" w:hint="default"/>
          <w:rtl w:val="0"/>
          <w:lang w:val="de-DE"/>
        </w:rPr>
        <w:t>·</w:t>
      </w:r>
      <w:r>
        <w:rPr>
          <w:rFonts w:eastAsia="PingFang SC Regular" w:hint="eastAsia"/>
          <w:rtl w:val="0"/>
          <w:lang w:val="zh-TW" w:eastAsia="zh-TW"/>
        </w:rPr>
        <w:t>泰勒</w:t>
      </w:r>
      <w:r>
        <w:rPr>
          <w:rFonts w:ascii="PingFang SC Regular" w:hAnsi="PingFang SC Regular"/>
          <w:rtl w:val="0"/>
        </w:rPr>
        <w:t>1830</w:t>
      </w:r>
      <w:r>
        <w:rPr>
          <w:rFonts w:eastAsia="PingFang SC Regular" w:hint="eastAsia"/>
          <w:rtl w:val="0"/>
          <w:lang w:val="zh-CN" w:eastAsia="zh-CN"/>
        </w:rPr>
        <w:t>年钢琴，显现了维也纳传统钢琴设计的特点。作为一个历史乐器，泰勒钢琴的特殊音色恰好对应了所处的浪漫主义时期，比如舒曼的音乐。其踏板设置有：弱音，柔音，延音。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